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677"/>
        <w:gridCol w:w="2410"/>
        <w:gridCol w:w="1418"/>
        <w:gridCol w:w="2004"/>
      </w:tblGrid>
      <w:tr>
        <w:tblPrEx>
          <w:tblLayout w:type="fixed"/>
        </w:tblPrEx>
        <w:trPr>
          <w:trHeight w:val="1246" w:hRule="atLeast"/>
        </w:trPr>
        <w:tc>
          <w:tcPr>
            <w:tcW w:w="2802" w:type="dxa"/>
            <w:shd w:val="clear" w:color="auto" w:fill="D8D8D8" w:themeFill="background1" w:themeFillShade="D9"/>
          </w:tcPr>
          <w:p>
            <w:pPr>
              <w:spacing w:line="240" w:lineRule="auto"/>
              <w:rPr>
                <w:b/>
                <w:color w:val="auto"/>
              </w:rPr>
            </w:pPr>
            <w:bookmarkStart w:id="0" w:name="_GoBack"/>
            <w:bookmarkEnd w:id="0"/>
          </w:p>
          <w:p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Recommendation</w:t>
            </w:r>
          </w:p>
        </w:tc>
        <w:tc>
          <w:tcPr>
            <w:tcW w:w="4677" w:type="dxa"/>
            <w:shd w:val="clear" w:color="auto" w:fill="D8D8D8" w:themeFill="background1" w:themeFillShade="D9"/>
          </w:tcPr>
          <w:p>
            <w:pPr>
              <w:spacing w:line="240" w:lineRule="auto"/>
              <w:rPr>
                <w:b/>
                <w:color w:val="auto"/>
              </w:rPr>
            </w:pPr>
          </w:p>
          <w:p>
            <w:pPr>
              <w:spacing w:line="240" w:lineRule="auto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Management Response</w:t>
            </w:r>
          </w:p>
        </w:tc>
        <w:tc>
          <w:tcPr>
            <w:tcW w:w="2410" w:type="dxa"/>
            <w:shd w:val="clear" w:color="auto" w:fill="D8D8D8" w:themeFill="background1" w:themeFillShade="D9"/>
          </w:tcPr>
          <w:p>
            <w:pPr>
              <w:spacing w:line="240" w:lineRule="auto"/>
              <w:rPr>
                <w:b/>
                <w:color w:val="auto"/>
              </w:rPr>
            </w:pPr>
          </w:p>
          <w:p>
            <w:pPr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Proposed Actions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>
            <w:pPr>
              <w:spacing w:line="240" w:lineRule="auto"/>
              <w:rPr>
                <w:b/>
                <w:color w:val="auto"/>
              </w:rPr>
            </w:pPr>
          </w:p>
          <w:p>
            <w:pPr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Timescale</w:t>
            </w:r>
          </w:p>
        </w:tc>
        <w:tc>
          <w:tcPr>
            <w:tcW w:w="2004" w:type="dxa"/>
            <w:shd w:val="clear" w:color="auto" w:fill="D8D8D8" w:themeFill="background1" w:themeFillShade="D9"/>
          </w:tcPr>
          <w:p>
            <w:pPr>
              <w:spacing w:line="240" w:lineRule="auto"/>
              <w:rPr>
                <w:b/>
                <w:color w:val="auto"/>
              </w:rPr>
            </w:pPr>
          </w:p>
          <w:p>
            <w:pPr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Responsibilit</w:t>
            </w:r>
            <w:r>
              <w:rPr>
                <w:b/>
                <w:bCs/>
                <w:color w:val="auto"/>
              </w:rPr>
              <w:t>y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spacing w:line="240" w:lineRule="auto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NCC’s and YHN’s strategies which aim to reduce carbon or decrease fuel poverty should have aligned targets</w:t>
            </w:r>
            <w:r>
              <w:rPr>
                <w:color w:val="auto"/>
              </w:rPr>
              <w:t xml:space="preserve"> and timescales.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The</w:t>
            </w:r>
            <w:r>
              <w:rPr>
                <w:color w:val="auto"/>
              </w:rPr>
              <w:t xml:space="preserve"> targets and timescales are not aligned because the</w:t>
            </w:r>
            <w:r>
              <w:rPr>
                <w:color w:val="auto"/>
              </w:rPr>
              <w:t xml:space="preserve"> strategies were developed at different times. 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Th</w:t>
            </w:r>
            <w:r>
              <w:rPr>
                <w:color w:val="auto"/>
              </w:rPr>
              <w:t>is</w:t>
            </w:r>
            <w:r>
              <w:rPr>
                <w:color w:val="auto"/>
              </w:rPr>
              <w:t xml:space="preserve"> target will be aligned in the Asset Management Strategy and Investment Plan.  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Cabinet approval of the Asset Management Strategy and Investment Plan will be sought. 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October 2020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Fairer Housing Unit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A publicity campaign to make tenants aware of how they can reduce carbon in their homes should be launched</w:t>
            </w:r>
            <w:r>
              <w:rPr>
                <w:color w:val="auto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We agree with this recommendation and will progress</w:t>
            </w:r>
            <w:r>
              <w:rPr>
                <w:color w:val="auto"/>
              </w:rPr>
              <w:t xml:space="preserve">. 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NCC will be carrying out publicity campaigns with all residents as part of the Climate Change Strategy. </w:t>
            </w:r>
            <w:r>
              <w:rPr>
                <w:color w:val="auto"/>
              </w:rPr>
              <w:t>YHN will work closely with NCC to share information with Tenants via social media</w:t>
            </w:r>
            <w:r>
              <w:rPr>
                <w:color w:val="auto"/>
              </w:rPr>
              <w:t xml:space="preserve"> and other communication channels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>YHN will lead on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publicity for specific projects within Council stock. 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YHN</w:t>
            </w:r>
            <w:r>
              <w:rPr>
                <w:color w:val="auto"/>
              </w:rPr>
              <w:t xml:space="preserve"> have a climate champions group</w:t>
            </w:r>
            <w:r>
              <w:rPr>
                <w:color w:val="auto"/>
              </w:rPr>
              <w:t xml:space="preserve"> involving 30 staff. </w:t>
            </w:r>
            <w:r>
              <w:rPr>
                <w:color w:val="auto"/>
              </w:rPr>
              <w:t>The group</w:t>
            </w:r>
            <w:r>
              <w:rPr>
                <w:color w:val="auto"/>
              </w:rPr>
              <w:t xml:space="preserve"> met three times </w:t>
            </w:r>
            <w:r>
              <w:rPr>
                <w:color w:val="auto"/>
              </w:rPr>
              <w:t>earlier</w:t>
            </w:r>
            <w:r>
              <w:rPr>
                <w:color w:val="auto"/>
              </w:rPr>
              <w:t xml:space="preserve"> this year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and</w:t>
            </w:r>
            <w:r>
              <w:rPr>
                <w:color w:val="auto"/>
              </w:rPr>
              <w:t xml:space="preserve"> were develop</w:t>
            </w:r>
            <w:r>
              <w:rPr>
                <w:color w:val="auto"/>
              </w:rPr>
              <w:t>ing</w:t>
            </w:r>
            <w:r>
              <w:rPr>
                <w:color w:val="auto"/>
              </w:rPr>
              <w:t xml:space="preserve"> plans </w:t>
            </w:r>
            <w:r>
              <w:rPr>
                <w:color w:val="auto"/>
              </w:rPr>
              <w:t>to</w:t>
            </w:r>
            <w:r>
              <w:rPr>
                <w:color w:val="auto"/>
              </w:rPr>
              <w:t xml:space="preserve"> encourage tenants to</w:t>
            </w:r>
            <w:r>
              <w:rPr>
                <w:color w:val="auto"/>
              </w:rPr>
              <w:t xml:space="preserve"> reduce their carbon footprint. The group h</w:t>
            </w:r>
            <w:r>
              <w:rPr>
                <w:color w:val="auto"/>
              </w:rPr>
              <w:t>as</w:t>
            </w:r>
            <w:r>
              <w:rPr>
                <w:color w:val="auto"/>
              </w:rPr>
              <w:t xml:space="preserve"> been unable</w:t>
            </w:r>
            <w:r>
              <w:rPr>
                <w:color w:val="auto"/>
              </w:rPr>
              <w:t xml:space="preserve"> to meet since </w:t>
            </w:r>
            <w:r>
              <w:rPr>
                <w:color w:val="auto"/>
              </w:rPr>
              <w:t>March 2020.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Carry out publicity campaigns. 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Ongoing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NCC Communications Team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YHN Communications and Engagement Team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Explore other </w:t>
            </w:r>
            <w:r>
              <w:rPr>
                <w:color w:val="auto"/>
              </w:rPr>
              <w:t xml:space="preserve">appropriate </w:t>
            </w:r>
            <w:r>
              <w:rPr>
                <w:color w:val="auto"/>
              </w:rPr>
              <w:t>methods</w:t>
            </w:r>
            <w:r>
              <w:rPr>
                <w:color w:val="auto"/>
              </w:rPr>
              <w:t xml:space="preserve"> other</w:t>
            </w:r>
            <w:r>
              <w:rPr>
                <w:color w:val="auto"/>
              </w:rPr>
              <w:t xml:space="preserve"> landlords have used to involve and empower tenants</w:t>
            </w:r>
            <w:r>
              <w:rPr>
                <w:color w:val="auto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YHN attend a </w:t>
            </w:r>
            <w:r>
              <w:rPr>
                <w:color w:val="auto"/>
              </w:rPr>
              <w:t>r</w:t>
            </w:r>
            <w:r>
              <w:rPr>
                <w:color w:val="auto"/>
              </w:rPr>
              <w:t xml:space="preserve">egional </w:t>
            </w:r>
            <w:r>
              <w:rPr>
                <w:color w:val="auto"/>
              </w:rPr>
              <w:t>h</w:t>
            </w:r>
            <w:r>
              <w:rPr>
                <w:color w:val="auto"/>
              </w:rPr>
              <w:t xml:space="preserve">ousing </w:t>
            </w:r>
            <w:r>
              <w:rPr>
                <w:color w:val="auto"/>
              </w:rPr>
              <w:t>group</w:t>
            </w:r>
            <w:r>
              <w:rPr>
                <w:color w:val="auto"/>
              </w:rPr>
              <w:t xml:space="preserve"> for</w:t>
            </w:r>
            <w:r>
              <w:rPr>
                <w:color w:val="auto"/>
              </w:rPr>
              <w:t xml:space="preserve"> climate issues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which shares good practice on tenant engagement. The group are </w:t>
            </w:r>
            <w:r>
              <w:rPr>
                <w:color w:val="auto"/>
              </w:rPr>
              <w:t xml:space="preserve">currently exploring carbon literacy.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Th</w:t>
            </w:r>
            <w:r>
              <w:rPr>
                <w:color w:val="auto"/>
              </w:rPr>
              <w:t>e</w:t>
            </w:r>
            <w:r>
              <w:rPr>
                <w:color w:val="auto"/>
              </w:rPr>
              <w:t xml:space="preserve"> Council is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seeking</w:t>
            </w:r>
            <w:r>
              <w:rPr>
                <w:color w:val="auto"/>
              </w:rPr>
              <w:t xml:space="preserve"> approval to commence the installation of ground source </w:t>
            </w:r>
            <w:r>
              <w:rPr>
                <w:color w:val="auto"/>
              </w:rPr>
              <w:t>heat pumps</w:t>
            </w:r>
            <w:r>
              <w:rPr>
                <w:color w:val="auto"/>
              </w:rPr>
              <w:t xml:space="preserve"> in some properties.</w:t>
            </w:r>
            <w:r>
              <w:rPr>
                <w:color w:val="auto"/>
              </w:rPr>
              <w:t xml:space="preserve"> The organisation installing the heat pumps </w:t>
            </w:r>
            <w:r>
              <w:rPr>
                <w:color w:val="auto"/>
              </w:rPr>
              <w:t>h</w:t>
            </w:r>
            <w:r>
              <w:rPr>
                <w:color w:val="auto"/>
              </w:rPr>
              <w:t>as</w:t>
            </w:r>
            <w:r>
              <w:rPr>
                <w:color w:val="auto"/>
              </w:rPr>
              <w:t xml:space="preserve"> experience </w:t>
            </w:r>
            <w:r>
              <w:rPr>
                <w:color w:val="auto"/>
              </w:rPr>
              <w:t>of tenant engagement</w:t>
            </w:r>
            <w:r>
              <w:rPr>
                <w:color w:val="auto"/>
              </w:rPr>
              <w:t xml:space="preserve"> so we will use their </w:t>
            </w:r>
            <w:r>
              <w:rPr>
                <w:color w:val="auto"/>
              </w:rPr>
              <w:t>learning</w:t>
            </w:r>
            <w:r>
              <w:rPr>
                <w:color w:val="auto"/>
              </w:rPr>
              <w:t xml:space="preserve"> and the findings </w:t>
            </w:r>
            <w:r>
              <w:rPr>
                <w:color w:val="auto"/>
              </w:rPr>
              <w:t xml:space="preserve">in this report to inform the engagement plan. 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Develop </w:t>
            </w:r>
            <w:r>
              <w:rPr>
                <w:color w:val="auto"/>
              </w:rPr>
              <w:t>a</w:t>
            </w:r>
            <w:r>
              <w:rPr>
                <w:color w:val="auto"/>
              </w:rPr>
              <w:t xml:space="preserve"> tenant </w:t>
            </w:r>
            <w:r>
              <w:rPr>
                <w:color w:val="auto"/>
              </w:rPr>
              <w:t xml:space="preserve">engagement plan for </w:t>
            </w:r>
            <w:r>
              <w:rPr>
                <w:color w:val="auto"/>
              </w:rPr>
              <w:t>the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installation of ground source heat pumps.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Subject to approval. 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YHN</w:t>
            </w:r>
            <w:r>
              <w:rPr>
                <w:color w:val="auto"/>
              </w:rPr>
              <w:t xml:space="preserve"> – Regeneration Team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Review the current Re-let Standard </w:t>
            </w:r>
            <w:r>
              <w:rPr>
                <w:color w:val="auto"/>
              </w:rPr>
              <w:t xml:space="preserve">to </w:t>
            </w:r>
            <w:r>
              <w:rPr>
                <w:color w:val="auto"/>
              </w:rPr>
              <w:t>consider</w:t>
            </w:r>
            <w:r>
              <w:rPr>
                <w:color w:val="auto"/>
              </w:rPr>
              <w:t xml:space="preserve"> fitting showers and increasing insulation</w:t>
            </w:r>
            <w:r>
              <w:rPr>
                <w:color w:val="auto"/>
              </w:rPr>
              <w:t>.</w:t>
            </w:r>
          </w:p>
          <w:p>
            <w:pPr>
              <w:pStyle w:val="5"/>
              <w:ind w:left="284"/>
              <w:rPr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>
            <w:pPr/>
            <w: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We agree that it is important to consider the implications of the Council's net-zero target within specific areas of work. </w:t>
            </w:r>
          </w:p>
          <w:p>
            <w:pP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This recommendation will be included in </w:t>
            </w:r>
            <w: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review of the voids process.</w:t>
            </w:r>
          </w:p>
          <w:p>
            <w:pP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/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Carry out a review of the voids process, including the implications of the net zero </w:t>
            </w:r>
            <w:r>
              <w:rPr>
                <w:color w:val="auto"/>
              </w:rPr>
              <w:t>target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April 2021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YHN – </w:t>
            </w:r>
            <w:r>
              <w:rPr>
                <w:color w:val="auto"/>
              </w:rPr>
              <w:t>Housing Services and Operational Property Services.</w:t>
            </w:r>
          </w:p>
        </w:tc>
      </w:tr>
      <w:tr>
        <w:tblPrEx>
          <w:tblLayout w:type="fixed"/>
        </w:tblPrEx>
        <w:trPr>
          <w:trHeight w:val="1246" w:hRule="atLeast"/>
        </w:trPr>
        <w:tc>
          <w:tcPr>
            <w:tcW w:w="2802" w:type="dxa"/>
            <w:shd w:val="clear" w:color="auto" w:fill="D8D8D8" w:themeFill="background1" w:themeFillShade="D9"/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Recommendation</w:t>
            </w:r>
          </w:p>
          <w:p>
            <w:pPr>
              <w:rPr>
                <w:b/>
                <w:color w:val="auto"/>
              </w:rPr>
            </w:pPr>
          </w:p>
        </w:tc>
        <w:tc>
          <w:tcPr>
            <w:tcW w:w="4677" w:type="dxa"/>
            <w:shd w:val="clear" w:color="auto" w:fill="D8D8D8" w:themeFill="background1" w:themeFillShade="D9"/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Management Response</w:t>
            </w:r>
          </w:p>
          <w:p>
            <w:pPr>
              <w:rPr>
                <w:b/>
                <w:color w:val="auto"/>
              </w:rPr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Proposed Actions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Timescale</w:t>
            </w:r>
          </w:p>
        </w:tc>
        <w:tc>
          <w:tcPr>
            <w:tcW w:w="2004" w:type="dxa"/>
            <w:shd w:val="clear" w:color="auto" w:fill="D8D8D8" w:themeFill="background1" w:themeFillShade="D9"/>
          </w:tcPr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Responsibility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5.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Promote the role of the Energy Services Team</w:t>
            </w:r>
            <w:r>
              <w:rPr>
                <w:color w:val="auto"/>
              </w:rPr>
              <w:t xml:space="preserve"> internally to staff and to tenants</w:t>
            </w:r>
            <w:r>
              <w:rPr>
                <w:color w:val="auto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YHN</w:t>
            </w:r>
            <w:r>
              <w:rPr>
                <w:color w:val="auto"/>
              </w:rPr>
              <w:t xml:space="preserve"> discuss promotional activities with the Energy Services Team and receive </w:t>
            </w:r>
            <w:r>
              <w:rPr>
                <w:color w:val="auto"/>
              </w:rPr>
              <w:t>a quarterly</w:t>
            </w:r>
            <w:r>
              <w:rPr>
                <w:color w:val="auto"/>
              </w:rPr>
              <w:t xml:space="preserve"> service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update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Initial discussions </w:t>
            </w:r>
            <w:r>
              <w:rPr>
                <w:color w:val="auto"/>
              </w:rPr>
              <w:t xml:space="preserve">about increasing staff awareness of the service had taken place prior to lockdown. </w:t>
            </w:r>
          </w:p>
          <w:p>
            <w:pPr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Include information about the service </w:t>
            </w:r>
            <w:r>
              <w:rPr>
                <w:color w:val="auto"/>
              </w:rPr>
              <w:t xml:space="preserve">in the publicity campaign. 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Ongoing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YHN – Communications and Engagement Team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2802" w:type="dxa"/>
            <w:shd w:val="clear" w:color="auto" w:fill="auto"/>
          </w:tcPr>
          <w:p>
            <w:p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6.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YHN’s policy on electric cars and charging points should be made available on its website.</w:t>
            </w:r>
          </w:p>
        </w:tc>
        <w:tc>
          <w:tcPr>
            <w:tcW w:w="4677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YHN do not have a specific policy</w:t>
            </w:r>
            <w:r>
              <w:rPr>
                <w:color w:val="auto"/>
              </w:rPr>
              <w:t xml:space="preserve"> because th</w:t>
            </w:r>
            <w:r>
              <w:rPr>
                <w:color w:val="auto"/>
              </w:rPr>
              <w:t>e installation of electric charging point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 by a Tenant is treated as a</w:t>
            </w:r>
            <w:r>
              <w:rPr>
                <w:color w:val="auto"/>
              </w:rPr>
              <w:t xml:space="preserve"> permitted wor</w:t>
            </w:r>
            <w:r>
              <w:rPr>
                <w:color w:val="auto"/>
              </w:rPr>
              <w:t>k</w:t>
            </w:r>
            <w:r>
              <w:rPr>
                <w:color w:val="auto"/>
              </w:rPr>
              <w:t xml:space="preserve">, subject to permission from YHN. </w:t>
            </w:r>
          </w:p>
          <w:p>
            <w:pPr>
              <w:rPr>
                <w:color w:val="auto"/>
              </w:rPr>
            </w:pPr>
            <w:r>
              <w:rPr>
                <w:rFonts w:eastAsia="Arial"/>
                <w:color w:val="auto"/>
              </w:rPr>
              <w:t>The relevant</w:t>
            </w:r>
            <w:r>
              <w:fldChar w:fldCharType="begin"/>
            </w:r>
            <w:r>
              <w:instrText xml:space="preserve"> HYPERLINK "https://www.yhn.org.uk/alterations-and-adaptations/" \h </w:instrText>
            </w:r>
            <w:r>
              <w:fldChar w:fldCharType="separate"/>
            </w:r>
            <w:r>
              <w:rPr>
                <w:rStyle w:val="3"/>
                <w:rFonts w:eastAsia="Arial"/>
                <w:color w:val="auto"/>
              </w:rPr>
              <w:t xml:space="preserve"> page</w:t>
            </w:r>
            <w:r>
              <w:rPr>
                <w:rStyle w:val="3"/>
                <w:rFonts w:eastAsia="Arial"/>
                <w:color w:val="auto"/>
              </w:rPr>
              <w:fldChar w:fldCharType="end"/>
            </w:r>
            <w:r>
              <w:rPr>
                <w:rFonts w:eastAsia="Arial"/>
                <w:color w:val="auto"/>
              </w:rPr>
              <w:t xml:space="preserve"> on the YHN website has been updated as follows (please see 4</w:t>
            </w:r>
            <w:r>
              <w:rPr>
                <w:rFonts w:eastAsia="Arial"/>
                <w:color w:val="auto"/>
                <w:vertAlign w:val="superscript"/>
              </w:rPr>
              <w:t>th</w:t>
            </w:r>
            <w:r>
              <w:rPr>
                <w:rFonts w:eastAsia="Arial"/>
                <w:color w:val="auto"/>
              </w:rPr>
              <w:t xml:space="preserve"> bullet point)</w:t>
            </w:r>
          </w:p>
          <w:p>
            <w:pPr>
              <w:rPr>
                <w:color w:val="auto"/>
              </w:rPr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Clarify the process and share information with the relevant teams.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October 2020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YHN – Policy Team</w:t>
            </w:r>
          </w:p>
          <w:p>
            <w:pPr>
              <w:rPr>
                <w:color w:val="auto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43CC"/>
    <w:multiLevelType w:val="multilevel"/>
    <w:tmpl w:val="7AC643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color w:val="444444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2023-02-21T08:06:34Z</dcterms:created>
  <dc:creator>iPad</dc:creator>
  <cp:lastModifiedBy>iPad</cp:lastModifiedBy>
  <dcterms:modified xsi:type="dcterms:W3CDTF">2023-02-21T08:07:47Z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3081-11.29.5</vt:lpwstr>
  </property>
  <property fmtid="{D5CDD505-2E9C-101B-9397-08002B2CF9AE}" pid="3" name="ICV">
    <vt:lpwstr>D81910AA83BBD7508A7BF46324DDC84D</vt:lpwstr>
  </property>
</Properties>
</file>